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41 BayStrWG (Bayern) — Träger der Straßenbaulast</w:t>
      </w:r>
    </w:p>
    <w:p>
      <w:r>
        <w:rPr>
          <w:color w:val="555555"/>
          <w:sz w:val="18"/>
        </w:rPr>
        <w:t xml:space="preserve">Bayerisches Straßen- und Wegegesetz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Träger der Straßenbaulast sind:</w:t>
      </w:r>
    </w:p>
    <w:p>
      <w:r>
        <w:t xml:space="preserve">1. für die Staatsstraßen der Freistaat Bayern,</w:t>
      </w:r>
    </w:p>
    <w:p>
      <w:r>
        <w:t xml:space="preserve">2. für die Kreisstraßen die Landkreise und kreisfreien Gemeinden.</w:t>
      </w:r>
    </w:p>
    <w:p>
      <w:r>
        <w:t xml:space="preserve">Dies gilt auch für die Ortsdurchfahrten, soweit nicht die Straßenbaulast für diese den Gemeinden obliegt (Art. 42).</w:t>
      </w:r>
    </w:p>
    <w:p>
      <w:r>
        <w:rPr>
          <w:color w:val="555555"/>
          <w:sz w:val="17"/>
        </w:rPr>
        <w:t xml:space="preserve">Zitiervorschlag: Art 41 BayStrWG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https://recht.nulegal.eu/gesetze/BayStrWG/41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