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40 BayStrWG (Bayern) — Enteignung</w:t>
      </w:r>
    </w:p>
    <w:p>
      <w:r>
        <w:rPr>
          <w:color w:val="555555"/>
          <w:sz w:val="18"/>
        </w:rPr>
        <w:t xml:space="preserve">Bayerisches Straßen- und Wegegesetz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Erfüllung der Aufgaben aus der Straßenbaulast kann nach den Vorschriften des Bayerischen Gesetzes über die entschädigungspflichtige Enteignung enteignet werden.</w:t>
      </w:r>
    </w:p>
    <w:p>
      <w:r>
        <w:t xml:space="preserve">(2) Der nach Art. 38 festgestellte oder genehmigte Plan ist dem Enteignungsverfahren zugrunde zu legen und für die Enteignungsbehörde bindend.</w:t>
      </w:r>
    </w:p>
    <w:p>
      <w:r>
        <w:t xml:space="preserve">(3) Bei Inkrafttreten dieses Gesetzes am 1. September 1958 bestehende unwiderrufliche Nutzungsrechte an öffentlichen Straßen können zur Beseitigung von Beeinträchtigungen des Gemeingebrauchs durch Enteignung aufgehoben werden.</w:t>
      </w:r>
    </w:p>
    <w:p>
      <w:r>
        <w:rPr>
          <w:color w:val="555555"/>
          <w:sz w:val="17"/>
        </w:rPr>
        <w:t xml:space="preserve">Zitiervorschlag: Art 40 BayStrWG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https://recht.nulegal.eu/gesetze/BayStrWG/40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