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BayStrWG (Bayern) — Ortsdurchfahrten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Ortsdurchfahrt ist der Teil einer Staatsstraße oder Kreisstraße, der innerhalb der geschlossenen Ortslage liegt und auch zur Erschließung der anliegenden Grundstücke bestimmt ist oder der mehrfachen Verknüpfung des Ortsstraßennetzes dient. Geschlossene Ortslage ist der Teil des Gemeindegebiets, der in geschlossener oder offener Bauweise zusammenhängend bebaut ist. Einzelne unbebaute Grundstücke, zur Bebauung ungeeignetes oder ihr entzogenes Gelände oder einseitige Bebauung unterbrechen den Zusammenhang nicht.</w:t>
      </w:r>
    </w:p>
    <w:p>
      <w:r>
        <w:t xml:space="preserve">(2) Die Regierung setzt nach Anhörung der Gemeinde und des Trägers der Straßenbaulast die Grenzen der Ortsdurchfahrt fest. Sie kann dabei zugunsten der Gemeinde von den Vorschriften des Abs. 1 abweichen, wenn die Länge der Ortsdurchfahrt wegen der Art der Bebauung in einem offensichtlichen Mißverhältnis zur Einwohnerzahl der Gemeinde steht.</w:t>
      </w:r>
    </w:p>
    <w:p>
      <w:r>
        <w:rPr>
          <w:color w:val="555555"/>
          <w:sz w:val="17"/>
        </w:rPr>
        <w:t xml:space="preserve">Zitiervorschlag: Art 4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