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36a BayStrWG (Bayern) — Duldungspflichten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Eigentümer und sonstige Nutzungsberechtigte haben zur Vorbereitung der Planung und der Baudurchführung notwendige Vermessungen, Boden- und Gewässeruntersuchungen einschließlich der vorübergehenden Anbringung von Markierungszeichen und sonstige Vorarbeiten durch die Straßenbaubehörde oder von ihr Beauftragte zu dulden. Wohnungen dürfen nur mit Einwilligung des Wohnungsinhabers betreten werden. Satz 2 gilt nicht für Arbeits-, Betriebs- und Geschäftsräume während der jeweiligen Arbeits-, Geschäfts- oder Aufenthaltszeiten.</w:t>
      </w:r>
    </w:p>
    <w:p>
      <w:r>
        <w:t xml:space="preserve">(2) Die Absicht, solche Arbeiten auszuführen, ist dem Eigentümer und sonstigen Nutzungsberechtigten mindestens zwei Wochen vorher bekannt zu geben. Sind Eigentümer oder sonstige Nutzungsberechtigte nicht bekannt oder ist deren Aufenthalt unbekannt und lassen sie sich in angemessener Zeit nicht ermitteln, kann eine Benachrichtigung durch ortsübliche Bekanntmachung in den Gemeinden, in deren Bereich die Vorarbeiten durchzuführen sind, erfolgen.</w:t>
      </w:r>
    </w:p>
    <w:p>
      <w:r>
        <w:t xml:space="preserve">(3) Entstehen durch eine Maßnahme nach Abs. 1 dem Eigentümer oder sonstigen Nutzungsberechtigten unmittelbare Vermögensnachteile, so hat der Träger der Straßenbaulast eine angemessene Entschädigung zu leisten. Kommt eine Einigung über die Geldentschädigung nicht zustande, so setzt die nach Art. 19 BayEG zuständige Behörde die Entschädigung fest. Vor der Entscheidung sind die Beteiligten anzuhören.</w:t>
      </w:r>
    </w:p>
    <w:p>
      <w:r>
        <w:t xml:space="preserve">(4) Die Abs. 1 bis 3 finden auf Vermessungen nach Abschluss der Straßenbauarbeiten sowie auf Maßnahmen, die zur Unterhaltung der Straße erforderlich sind, entsprechend Anwendung. Dies gilt insbesondere für Anlieger und Hinterlieger der Straße sowie Inhaber einer Sondernutzungserlaubnis oder andere Nutzungsberechtigte am Straßengrundstück, auf deren Interesse Rücksicht zu nehmen ist. Abweichend von den Sätzen 1 und 2 haben Inhaber einer Sondernutzungserlaubnis ohne Anspruch auf Entschädigung zu dulden, dass die Ausübung ihres Rechts durch Arbeiten zur Unterhaltung vorübergehend behindert oder unterbrochen wird. Bei anderen Nutzungsberechtigten am Straßengrundstück sind die zugrunde liegenden Rechtsverhältnisse maßgebend.</w:t>
      </w:r>
    </w:p>
    <w:p>
      <w:r>
        <w:rPr>
          <w:color w:val="555555"/>
          <w:sz w:val="17"/>
        </w:rPr>
        <w:t xml:space="preserve">Zitiervorschlag: Art 36a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