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32 BayStrWG (Bayern) — Kosten für Kreuzungen öffentlicher Straßen, Verordnungsermächtigung</w:t>
      </w:r>
    </w:p>
    <w:p>
      <w:r>
        <w:rPr>
          <w:color w:val="555555"/>
          <w:sz w:val="18"/>
        </w:rPr>
        <w:t xml:space="preserve">Bayerisches Straßen- und Wegegesetz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Beim Bau einer neuen Kreuzung hat der Träger der Straßenbaulast für die neu hinzukommende Straße die Kosten der Kreuzung zu tragen. Zu ihnen gehören auch die Kosten der Änderung, die durch die neue Kreuzung an den anderen öffentlichen Straßen unter Berücksichtigung der übersehbaren Verkehrsentwicklung notwendig sind. Die Änderung einer bestehenden Kreuzung ist als neue Kreuzung zu behandeln, wenn eine Straße, die nach der Beschaffenheit ihrer Fahrbahn nicht geeignet und nicht dazu bestimmt war, einen allgemeinen Kraftfahrzeugverkehr aufzunehmen, zu einer diesem Verkehr dienenden Straße ausgebaut wird.</w:t>
      </w:r>
    </w:p>
    <w:p>
      <w:r>
        <w:t xml:space="preserve">(2) Werden mehrere sich kreuzende Straßen gleichzeitig neu angelegt oder werden an bestehenden Kreuzungen neue Anschlußstellen geschaffen, so haben die Träger der Straßenbaulast die Kosten der Kreuzung in dem Verhältnis der Fahrbahnbreiten der an der Kreuzung beteiligten Straßenäste zu tragen. Bei der Berechnung der Fahrbahnbreiten sind die Gehwege und Radwege, die Trennstreifen und die befestigten Seitenstreifen einzubeziehen.</w:t>
      </w:r>
    </w:p>
    <w:p>
      <w:r>
        <w:t xml:space="preserve">(3) Wird eine höhenungleiche Kreuzung geändert, so fallen die dadurch entstehenden Kosten</w:t>
      </w:r>
    </w:p>
    <w:p>
      <w:r>
        <w:t xml:space="preserve">1. demjenigen Träger der Straßenbaulast zur Last, der die Änderung verlangt,</w:t>
      </w:r>
    </w:p>
    <w:p>
      <w:r>
        <w:t xml:space="preserve">2. den beteiligten Trägern der Straßenbaulast zur Last, die die Änderung verlangen, und zwar im Verhältnis der Fahrbahnbreiten der an der Kreuzung beteiligten Straßenäste nach der Änderung.</w:t>
      </w:r>
    </w:p>
    <w:p>
      <w:r>
        <w:t xml:space="preserve">(4) Wird eine höhengleiche Kreuzung geändert, so gilt für die dadurch entstehenden Kosten der Änderung Abs. 2. Beträgt der durchschnittliche tägliche Verkehr mit Kraftfahrzeugen auf einem der an der Kreuzung beteiligten Straßenäste nicht mehr als 20 v.H. des Verkehrs auf anderen beteiligten Straßenästen, so haben die Träger der Straßenbaulast der verkehrsstärkeren Straßenäste im Verhältnis der Fahrbahnbreiten den Anteil der Änderungskosten mitzutragen, der auf den Träger der Straßenbaulast des verkehrsschwächeren Straßenastes entfallen würde.</w:t>
      </w:r>
    </w:p>
    <w:p>
      <w:r>
        <w:t xml:space="preserve">(5) Zugunsten leistungsschwacher Träger der Straßenbaulast können Ausnahmen von der Kostenregelung der Abs. 1 bis 4 vereinbart werden.</w:t>
      </w:r>
    </w:p>
    <w:p>
      <w:r>
        <w:t xml:space="preserve">(6) Das Staatsministerium kann durch Rechtsverordnung näher regeln, welche Aufwendungen zu den in den Abs. 1 bis 4 genannten Kosten gehören und für den mit solchen Baumaßnahmen verbundenen Verwaltungsaufwand Pauschalbeträge festsetzen.</w:t>
      </w:r>
    </w:p>
    <w:p>
      <w:r>
        <w:rPr>
          <w:color w:val="555555"/>
          <w:sz w:val="17"/>
        </w:rPr>
        <w:t xml:space="preserve">Zitiervorschlag: Art 32 BayStrWG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https://recht.nulegal.eu/gesetze/BayStrWG/32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