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BayStrWG (Bayern) — Bepflanzungen, Straßenbegleitflächen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Bepflanzung des Straßenkörpers ist nur der Träger der Straßenbaulast befugt. Dem Natur- und Landschaftsschutz ist Rechnung zu tragen.</w:t>
      </w:r>
    </w:p>
    <w:p>
      <w:r>
        <w:t xml:space="preserve">(2) Begrünte Teile der Trenn-, Seiten-, Rand- und Sicherheitsstreifen, Böschungen und sonstige straßenbegleitende Grundstücksteile (Straßenbegleitflächen) sind bei Staatsstraßen mit dem Ziel zu bewirtschaften, die Luftreinhaltung, die Artenvielfalt und den Biotopverbund zu fördern. Im Rahmen der Wirtschaftlichkeit und vorbehaltlich der Verkehrssicherheit sollen bei Staatsstraßen die Straßenbegleitflächen als Magergrünland bewirtschaftet und Lärmschutzanlagen begrünt werden. Den Landkreisen und Gemeinden wird empfohlen, bei Kreis- und Gemeindestraßen entsprechend zu verfahren.</w:t>
      </w:r>
    </w:p>
    <w:p>
      <w:r>
        <w:rPr>
          <w:color w:val="555555"/>
          <w:sz w:val="17"/>
        </w:rPr>
        <w:t xml:space="preserve">Zitiervorschlag: Art 30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