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29 BayStrWG (Bayern) — Schutzmaßnahmen</w:t>
      </w:r>
    </w:p>
    <w:p>
      <w:r>
        <w:rPr>
          <w:color w:val="555555"/>
          <w:sz w:val="18"/>
        </w:rPr>
        <w:t xml:space="preserve">Bayerisches Straßen- und Wegegesetz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Zum Schutz der Straßen vor nachteiligen Einwirkungen der Natur, insbesondere Schneeverwehungen, Steinschlag, Vermurungen, Überschwemmungen, haben die Eigentümer und Besitzer von benachbarten Grundstücken (Anlieger, Hinterlieger) die notwendigen Einrichtungen zu dulden. Soweit der Träger der Straßenbaulast Maßnahmen, die nach Satz 1 zu dulden sind, zum Schutz einer Staatsstraße durchführt, trägt er die Kosten.</w:t>
      </w:r>
    </w:p>
    <w:p>
      <w:r>
        <w:t xml:space="preserve">(2) Anpflanzungen aller Art und Zäune sowie Stapel, Haufen und ähnliche mit dem Grundstück nicht festverbundene Gegenstände dürfen nicht angelegt werden, soweit sie die Sicherheit und Leichtigkeit des Verkehrs beeinträchtigen können. Soweit sie bereits vorhanden sind, haben die Eigentümer und Besitzer ihre Beseitigung zu dulden. Die Straßenbaubehörde kann die Verantwortlichen nach Satz 1 verpflichten, verbotene Anpflanzungen und Gegenstände im Sinne von Satz 1 innerhalb einer angemessenen Frist zu beseitigen. Die Befugnisse der Sicherheitsbehörde bleiben unberührt.</w:t>
      </w:r>
    </w:p>
    <w:p>
      <w:r>
        <w:t xml:space="preserve">(3) Im Falle des Abs. 2 Satz 3 haben die Betroffenen die Kosten zu tragen, die durch die Beseitigung entstehen. Das gilt nicht, wenn die Anlage aus Gründen, die der Träger der Straßenbaulast zu vertreten hat, beseitigt werden muss.</w:t>
      </w:r>
    </w:p>
    <w:p>
      <w:r>
        <w:t xml:space="preserve">(4) Die Straßenbaubehörde hat den Betroffenen die Anlage von Einrichtungen nach Abs. 1 oder die Beseitigung von Anlagen nach Abs. 2 Satz 2 mindestens 14 Tage vorher schriftlich anzukündigen, es sei denn, daß Gefahr im Verzug ist. Die Betroffenen können diese Maßnahmen im Benehmen mit der Straßenbaubehörde selbst durchführen.</w:t>
      </w:r>
    </w:p>
    <w:p>
      <w:r>
        <w:t xml:space="preserve">(5) Der Träger der Straßenbaulast hat den Eigentümern und Besitzern die durch Maßnahmen nach den Abs. 1 und 2 Satz 2 verursachten Aufwendungen und Schäden angemessen zu vergüten, soweit diese nicht Folge von Veränderungen auf benachbarten Grundstücken sind, die die Betroffenen zu vertreten haben.</w:t>
      </w:r>
    </w:p>
    <w:p>
      <w:r>
        <w:rPr>
          <w:color w:val="555555"/>
          <w:sz w:val="17"/>
        </w:rPr>
        <w:t xml:space="preserve">Zitiervorschlag: Art 29 BayStrWG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https://recht.nulegal.eu/gesetze/BayStrWG/29</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