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27a BayStrWG (Bayern) — Entschädigung wegen Baubeschränkungen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nach den Art. 23 bis 26 die bauliche Nutzung eines Grundstücks, auf deren Zulassung bisher ein Rechtsanspruch bestand, ganz oder teilweise aufgehoben, so kann der Eigentümer und ein sonst zur Nutzung Berechtigter insoweit nach den Vorschriften des Bayerischen Gesetzes über die entschädigungspflichtige Enteignung Entschädigung in Geld verlangen, als seine Vorbereitungen zur baulichen Nutzung des Grundstücks in dem bisher zulässigen Umfang für ihn an Wert verlieren oder eine wesentliche Wertminderung des Grundstücks eintritt. Zur Entschädigung ist der Träger der Straßenbaulast verpflichtet, im Fall des Art. 26 Satz 1 unbeschadet seiner Ausgleichsansprüche nach dem Eisenbahnkreuzungsgesetz.</w:t>
      </w:r>
    </w:p>
    <w:p>
      <w:r>
        <w:t xml:space="preserve">(2) Im Fall des Art. 27 entsteht der Anspruch nach Abs. 1 erst, wenn der Plan unanfechtbar festgestellt oder mit der Ausführung begonnen worden ist, spätestens jedoch vier Jahre nach Auslegung der Pläne.</w:t>
      </w:r>
    </w:p>
    <w:p>
      <w:r>
        <w:rPr>
          <w:color w:val="555555"/>
          <w:sz w:val="17"/>
        </w:rPr>
        <w:t xml:space="preserve">Zitiervorschlag: Art 27a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https://recht.nulegal.eu/gesetze/BayStrWG/27a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