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BayStrWG (Bayern) — Anbauverbote an Straßen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Außerhalb der zur Erschließung der anliegenden Grundstücke bestimmten Teile der Ortsdurchfahrten dürfen bauliche Anlagen</w:t>
      </w:r>
    </w:p>
    <w:p>
      <w:r>
        <w:t xml:space="preserve">1. an Staatsstraßen in einer Entfernung bis zu 20 m,</w:t>
      </w:r>
    </w:p>
    <w:p>
      <w:r>
        <w:t xml:space="preserve">2. an Kreisstraßen in einer Entfernung bis zu 15 m,</w:t>
      </w:r>
    </w:p>
    <w:p>
      <w:r>
        <w:t xml:space="preserve">jeweils gemessen vom äußeren Rand der Fahrbahndecke, nicht errichtet werden. Dies gilt nicht für Aufschüttungen und Abgrabungen geringeren Umfangs und für technische Einrichtungen, die für das Erbringen von der öffentlichen Versorgung dienenden Telekommunikationsdiensten erforderlich sind. Sind besondere Fahrbahnen, wie Radwege, getrennt von der Hauptfahrbahn angelegt, dann werden die Entfernungen vom Rand der Decke der Hauptfahrbahn ab gerechnet.</w:t>
      </w:r>
    </w:p>
    <w:p>
      <w:r>
        <w:t xml:space="preserve">(2) Ausnahmen von den Anbauverboten nach Abs. 1 können zugelassen werden, wenn dies die Sicherheit und Leichtigkeit des Verkehrs, besonders wegen der Sichtverhältnisse, Verkehrsgefährdung, Bebauungsabsichten und Straßenbaugestaltung gestattet. Die Entscheidung wird im Baugenehmigungsverfahren durch die untere Bauaufsichtsbehörde im Einvernehmen mit der Straßenbaubehörde oder, wenn kein Baugenehmigungsverfahren durchgeführt wird, in einem eigenen Verfahren durch die Straßenbaubehörde getroffen. Soweit nach Art. 73 Abs. 1 BayBO die Regierung zuständig ist, trifft diese die Entscheidung.</w:t>
      </w:r>
    </w:p>
    <w:p>
      <w:r>
        <w:t xml:space="preserve">(3) Abs. 1 gilt nicht, wenn das Bauvorhaben den Festsetzungen eines Bebauungsplans im Sinn des Baugesetzbuchs entspricht, der mindestens die Begrenzung der Verkehrsflächen und die an diesen gelegenen überbaubaren Grundstücksflächen enthält und unter Mitwirkung der Straßenbaubehörde zustande gekommen ist.</w:t>
      </w:r>
    </w:p>
    <w:p>
      <w:r>
        <w:t xml:space="preserve">(4) Die Gemeinden können durch Satzung vorschreiben, daß bestimmte Gemeindeverbindungsstraßen vom Anbau nach Abs. 1 freizuhalten sind, soweit dies für die Sicherheit oder Leichtigkeit des Verkehrs, besonders im Hinblick auf Sichtverhältnisse, Verkehrsgefährdung, Bebauungsabsichten und Straßenbaugestaltung erforderlich ist. Das Anbauverbot darf sich nur auf eine Entfernung bis zu 10 m, gemessen vom Rand der Fahrbahndecke, erstrecken.</w:t>
      </w:r>
    </w:p>
    <w:p>
      <w:r>
        <w:rPr>
          <w:color w:val="555555"/>
          <w:sz w:val="17"/>
        </w:rPr>
        <w:t xml:space="preserve">Zitiervorschlag: Art 23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