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BayStrWG (Bayern) — Sondernutzung nach bürgerlichem Recht</w:t>
      </w:r>
    </w:p>
    <w:p>
      <w:r>
        <w:rPr>
          <w:color w:val="555555"/>
          <w:sz w:val="18"/>
        </w:rPr>
        <w:t xml:space="preserve">Bayerisches Straßen- und Wegegesetz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Einräumung von Rechten zur Benutzung der Straßen über den Gemeingebrauch hinaus richtet sich nach bürgerlichem Recht, wenn durch die Benutzung der Gemeingebrauch nicht beeinträchtigt werden kann.</w:t>
      </w:r>
    </w:p>
    <w:p>
      <w:r>
        <w:t xml:space="preserve">(2) Die Benutzung der Straßen für Zwecke der öffentlichen Versorgung regelt sich stets nach bürgerlichem Recht, es sei denn, daß der Gemeingebrauch nicht nur für kurze Dauer beeinträchtigt wird.</w:t>
      </w:r>
    </w:p>
    <w:p>
      <w:r>
        <w:rPr>
          <w:color w:val="555555"/>
          <w:sz w:val="17"/>
        </w:rPr>
        <w:t xml:space="preserve">Zitiervorschlag: Art 22 BayStrWG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https://recht.nulegal.eu/gesetze/BayStrWG/22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