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BayStrWG (Bayern) — Zufahrten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Zufahrten zu Staats- und Kreisstraßen außerhalb der zur Erschließung bestimmten Teile der Ortsdurchfahrten sowie zu Gemeindeverbindungsstraßen (Art. 46 Nr. 1) gelten als Sondernutzungen im Sinn des Art. 18. Art. 18 Abs. 2a ist nicht anwendbar.</w:t>
      </w:r>
    </w:p>
    <w:p>
      <w:r>
        <w:t xml:space="preserve">(2) Art. 18 Abs. 4 findet mit der Maßgabe Anwendung, daß die Straßenbaubehörde von dem Erlaubnisnehmer alle Maßnahmen hinsichtlich der örtlichen Lage, der Art und der Ausgestaltung der Zufahrt verlangen kann, die aus Gründen der Sicherheit oder Leichtigkeit des Verkehrs erforderlich sind.</w:t>
      </w:r>
    </w:p>
    <w:p>
      <w:r>
        <w:t xml:space="preserve">(3) Eine Erlaubnis nach Art. 18 ist auch einzuholen, bevor eine erlaubnisbedürftige Zufahrt geändert wird oder bevor sich der Verkehr auf der Zufahrt nach Art oder Dichte wesentlich vergrößert.</w:t>
      </w:r>
    </w:p>
    <w:p>
      <w:r>
        <w:t xml:space="preserve">(4) Der Erlaubnis nach Art. 18 Abs. 1 bedarf es nicht, wenn Zufahrten</w:t>
      </w:r>
    </w:p>
    <w:p>
      <w:r>
        <w:t xml:space="preserve">1. zu baulichen Anlagen geschaffen oder geändert werden, die dem Verfahren nach Art. 23 oder 24 unterliegen,</w:t>
      </w:r>
    </w:p>
    <w:p>
      <w:r>
        <w:t xml:space="preserve">2. in einem Flurbereinigungsverfahren mit Zustimmung der Straßenbaubehörde neu geschaffen oder geändert werden.</w:t>
      </w:r>
    </w:p>
    <w:p>
      <w:r>
        <w:t xml:space="preserve">(5) Für die Unterhaltung von Zufahrten, die keiner Erlaubnis nach Art. 18 Abs. 1 bedürfen, sowie von Zugängen gilt Art. 18 Abs. 4 entsprechend.</w:t>
      </w:r>
    </w:p>
    <w:p>
      <w:r>
        <w:rPr>
          <w:color w:val="555555"/>
          <w:sz w:val="17"/>
        </w:rPr>
        <w:t xml:space="preserve">Zitiervorschlag: Art 19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