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18a BayStrWG (Bayern) — Sondernutzung für stationsbasiertes Carsharing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Unbeschadet der sonstigen straßenrechtlichen Bestimmungen zur Sondernutzung kann die Gemeinde Flächen auf öffentlichen Straßen für stationsbasiertes Carsharing bestimmen und im Wege eines diskriminierungsfreien und transparenten Auswahlverfahrens einem Carsharinganbieter für einen Zeitraum von längstens acht Jahren zur Verfügung stellen. Das Auswahlverfahren ist öffentlich bekanntzumachen und kann auch durch ein von der Gemeinde damit beliehenes kommunales Unternehmen erfolgen. Die §§ 2, 5 Abs. 1 Satz 3, Abs. 2 Satz 3 und 4, Abs. 6 Satz 5 des Carsharinggesetzes gelten mit der Maßgabe entsprechend, dass sich Verweise auf das Bayerische Verwaltungsverfahrensgesetz (BayVwVfG) beziehen. Art. 18 gilt mit der Maßgabe entsprechend, dass die Sondernutzungserlaubnis nicht auf Widerruf erteilt werden darf.</w:t>
      </w:r>
    </w:p>
    <w:p>
      <w:r>
        <w:t xml:space="preserve">(2) Die Erteilung der Sondernutzungserlaubnis kann auch davon abhängig gemacht werden, dass der Erlaubnisnehmer umweltbezogene oder solche Kriterien erfüllt, die einer Verringerung des motorisierten Individualverkehrs besonders dienlich sind.</w:t>
      </w:r>
    </w:p>
    <w:p>
      <w:r>
        <w:rPr>
          <w:color w:val="555555"/>
          <w:sz w:val="17"/>
        </w:rPr>
        <w:t xml:space="preserve">Zitiervorschlag: Art 18a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https://recht.nulegal.eu/gesetze/BayStrWG/18a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