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BayStrWG (Bayern) — Sicherheitsvorschriften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Straßenbaubehörde trägt die Verantwortung dafür, daß die öffentlich-rechtlichen Vorschriften und die allgemein anerkannten Regeln der Technik eingehalten werden.</w:t>
      </w:r>
    </w:p>
    <w:p>
      <w:r>
        <w:t xml:space="preserve">(2) Die Straßenbaubehörde kann bestimmte Aufgaben, die ihr aufgrund von Abs. 1 anstelle der Bauaufsichtsbehörde obliegen, in entsprechender Anwendung der aufgrund des Art. 80 Abs. 2 der Bayerischen Bauordnung (BayBO) erlassenen Rechtsverordnung auf Prüfingenieure und Prüfämter übertragen. Im Übrigen kann sie Prüfsachverständige heranziehen. Art. 62 Abs. 1 Satz 4 BayBO gilt entsprechend.</w:t>
      </w:r>
    </w:p>
    <w:p>
      <w:r>
        <w:t xml:space="preserve">(3) Abs. 2 gilt auch für Bundesstraßen.</w:t>
      </w:r>
    </w:p>
    <w:p>
      <w:r>
        <w:rPr>
          <w:color w:val="555555"/>
          <w:sz w:val="17"/>
        </w:rPr>
        <w:t xml:space="preserve">Zitiervorschlag: Art 10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