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BayStrAG (Bayern)</w:t>
      </w:r>
    </w:p>
    <w:p>
      <w:r>
        <w:rPr>
          <w:color w:val="555555"/>
          <w:sz w:val="18"/>
        </w:rPr>
        <w:t xml:space="preserve">Bayerisches Strafrechtsausführungsgesetz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13. Dezember 2016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BayStrAG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https://recht.nulegal.eu/gesetze/BayStrAG/schlussformel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