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BayStrAG (Bayern) — Inkrafttreten, Außerkrafttreten</w:t>
      </w:r>
    </w:p>
    <w:p>
      <w:r>
        <w:rPr>
          <w:color w:val="555555"/>
          <w:sz w:val="18"/>
        </w:rPr>
        <w:t xml:space="preserve">Bayerisches Strafrechtsausführungsgesetz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2017 in Kraft.</w:t>
      </w:r>
    </w:p>
    <w:p>
      <w:r>
        <w:t xml:space="preserve">(2) Außer Kraft treten:</w:t>
      </w:r>
    </w:p>
    <w:p>
      <w:r>
        <w:t xml:space="preserve">1. die Führungsaufsichtsstellen-Verordnung (FAStellenV) in der in der Bayerischen Rechtssammlung (BayRS 450-4-J) veröffentlichten bereinigten Fassung, die zuletzt durch Verordnung vom 11. Juni 2012 (GVBl. S. 312) geändert worden ist, am 31. Dezember 2016,</w:t>
      </w:r>
    </w:p>
    <w:p>
      <w:r>
        <w:t xml:space="preserve">2. das Bayerische Subventionsgesetz (BaySubvG) in der in der Bayerischen Rechtssammlung (BayRS 453-1-W) veröffentlichten bereinigten Fassung am 31. Dezember 2016,</w:t>
      </w:r>
    </w:p>
    <w:p>
      <w:r>
        <w:t xml:space="preserve">3. Art. 3 Abs. 6 mit Ablauf des 31. Dezember 2017,</w:t>
      </w:r>
    </w:p>
    <w:p>
      <w:r>
        <w:t xml:space="preserve">4. Art. 3 Abs. 5 mit Ablauf des 31. Dezember 2020.</w:t>
      </w:r>
    </w:p>
    <w:p>
      <w:r>
        <w:rPr>
          <w:color w:val="555555"/>
          <w:sz w:val="17"/>
        </w:rPr>
        <w:t xml:space="preserve">Zitiervorschlag: Art 4 BayStrAG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https://recht.nulegal.eu/gesetze/BayStrAG/4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