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BayStrAG (Bayern) — Subventionsstrafrecht</w:t>
      </w:r>
    </w:p>
    <w:p>
      <w:r>
        <w:rPr>
          <w:color w:val="555555"/>
          <w:sz w:val="18"/>
        </w:rPr>
        <w:t xml:space="preserve">Bayerisches Strafrechtsausführungsgesetz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Subventionsgesetz gilt auch für Leistungen nach Landesrecht, die Subventionen im Sinne des § 264 des Strafgesetzbuchs (StGB) darstellen.</w:t>
      </w:r>
    </w:p>
    <w:p>
      <w:r>
        <w:rPr>
          <w:color w:val="555555"/>
          <w:sz w:val="17"/>
        </w:rPr>
        <w:t xml:space="preserve">Zitiervorschlag: Art 1 BayStrAG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https://recht.nulegal.eu/gesetze/BayStrAG/1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