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BayStatG (Bayern) — Anwendbarkeit der Datenschutz-Grundverordnung und des Bayerischen Datenschutzgesetzes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Ansprüche nach den Art. 15, 16, 18 und 21 der Verordnung (EU) 2016/679 (Datenschutz- Grundverordnung– DSGVO) bestehen nicht, soweit diese Rechte die Verwirklichung statistischer Zwecke ernsthaft beeinträchtigen würden.</w:t>
      </w:r>
    </w:p>
    <w:p>
      <w:r>
        <w:t xml:space="preserve">(2) Einzelangaben dürfen an das Landesamt und an Statistikstellen für die Durchführung von Geschäftsstatistiken übermittelt und von dort – auch in aufbereiteter Form – rückübermittelt werden.</w:t>
      </w:r>
    </w:p>
    <w:p>
      <w:r>
        <w:rPr>
          <w:color w:val="555555"/>
          <w:sz w:val="17"/>
        </w:rPr>
        <w:t xml:space="preserve">Zitiervorschlag: Art 3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