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BayStatG (Bayern) — Ordnungswidrigkeiten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Ordnungswidrig handelt, wer vorsätzlich oder fahrlässig eine Auskunft entgegen Art. 12 Abs. 2 Satz 1 nicht, nicht rechtzeitig, nicht richtig oder nicht vollständig erteilt. Ordnungswidrig handelt auch, wer entgegen Art. 12 Abs. 4 Satz 1 die Auskunft nicht in der vorgegebenen Form erteilt.</w:t>
      </w:r>
    </w:p>
    <w:p>
      <w:r>
        <w:t xml:space="preserve">(2) Ordnungswidrig handelt, wer einer Auskunftspflicht nach einer Satzung gemäß Art. 23 Abs. 1 Satz 4 zuwiderhandelt, soweit die Satzung für einen bestimmten Tatbestand auf diese Bußgeldvorschrift verweist.</w:t>
      </w:r>
    </w:p>
    <w:p>
      <w:r>
        <w:t xml:space="preserve">(3) Die Ordnungswidrigkeit kann mit einer Geldbuße bis zu fünftausend Euro geahndet werden.</w:t>
      </w:r>
    </w:p>
    <w:p>
      <w:r>
        <w:rPr>
          <w:color w:val="555555"/>
          <w:sz w:val="17"/>
        </w:rPr>
        <w:t xml:space="preserve">Zitiervorschlag: Art 28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