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BayStatG (Bayern) — Reidentifizierungsverbot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Zusammenführung</w:t>
      </w:r>
    </w:p>
    <w:p>
      <w:r>
        <w:t xml:space="preserve">1. von Einzelangaben aus Statistiken öffentlicher Stellen oder</w:t>
      </w:r>
    </w:p>
    <w:p>
      <w:r>
        <w:t xml:space="preserve">2. von Einzelangaben aus Statistiken öffentlicher Stellen mit anderen Angaben</w:t>
      </w:r>
    </w:p>
    <w:p>
      <w:r>
        <w:t xml:space="preserve">zum Zweck der Herstellung eines Personen-, Unternehmens-, Betriebs- oder Arbeitsstättenbezugs ist untersagt, es sei denn, die Aufgabenstellung dieses Gesetzes oder einer anderen Rechtsvorschrift oder ein sonstiger eine Statistik einer öffentlichen Stelle anordnender Rechtsakt lassen das zu.</w:t>
      </w:r>
    </w:p>
    <w:p>
      <w:r>
        <w:rPr>
          <w:color w:val="555555"/>
          <w:sz w:val="17"/>
        </w:rPr>
        <w:t xml:space="preserve">Zitiervorschlag: Art 26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