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BayStatG (Bayern) — Hinweispflichten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Ergänzend zu den Informationspflichten nach den Art. 13 und 14 DSGVO sind die zu Befragenden schriftlich oder elektronisch hinzuweisen auf</w:t>
      </w:r>
    </w:p>
    <w:p>
      <w:r>
        <w:t xml:space="preserve">1. Art und Umfang der Erhebung;</w:t>
      </w:r>
    </w:p>
    <w:p>
      <w:r>
        <w:t xml:space="preserve">2. die Geheimhaltung (Art. 17);</w:t>
      </w:r>
    </w:p>
    <w:p>
      <w:r>
        <w:t xml:space="preserve">3. die Auskunftspflicht (Art. 12) oder die Freiwilligkeit der Auskunftserteilung;</w:t>
      </w:r>
    </w:p>
    <w:p>
      <w:r>
        <w:t xml:space="preserve">4. die Trennung und Löschung der Hilfsmerkmale (Art. 15 Abs. 2 und 3);</w:t>
      </w:r>
    </w:p>
    <w:p>
      <w:r>
        <w:t xml:space="preserve">5. die Rechte und die Pflichten (Art. 14 Abs. 2) der Erhebungsbeauftragten;</w:t>
      </w:r>
    </w:p>
    <w:p>
      <w:r>
        <w:t xml:space="preserve">6. den Ausschluß der aufschiebenden Wirkung der Anfechtungsklage gegen die Aufforderung zur Auskunftserteilung (Art. 13);</w:t>
      </w:r>
    </w:p>
    <w:p>
      <w:r>
        <w:t xml:space="preserve">7. die Hilfs- und Erhebungsmerkmale zur Führung von Adreßdateien (Art. 16);</w:t>
      </w:r>
    </w:p>
    <w:p>
      <w:r>
        <w:t xml:space="preserve">8. die Bedeutung und den Inhalt von laufenden Nummern und Ordnungsnummern.</w:t>
      </w:r>
    </w:p>
    <w:p>
      <w:r>
        <w:t xml:space="preserve">Dies gilt nicht, soweit es sich bei den Befragten um öffentliche Stellen oder um Einrichtungen handelt, die der Aufsicht von staatlichen Stellen unterliegen.</w:t>
      </w:r>
    </w:p>
    <w:p>
      <w:r>
        <w:rPr>
          <w:color w:val="555555"/>
          <w:sz w:val="17"/>
        </w:rPr>
        <w:t xml:space="preserve">Zitiervorschlag: Art 19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