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BayStatG (Bayern) — Rechtsverordnungen</w:t>
      </w:r>
    </w:p>
    <w:p>
      <w:r>
        <w:rPr>
          <w:color w:val="555555"/>
          <w:sz w:val="18"/>
        </w:rPr>
        <w:t xml:space="preserve">Bayerisches Statistikgesetz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Staatsregierung wird ermächtigt, durch Rechtsverordnung</w:t>
      </w:r>
    </w:p>
    <w:p>
      <w:r>
        <w:t xml:space="preserve">1. für einen Zeitraum bis zu vier Jahren eine durch Gesetz angeordnete Statistik insgesamt oder hinsichtlich einzelner Erhebungs- oder Hilfsmerkmale auszusetzen, die Periodizität zu verlängern, die Erhebungstermine zu verschieben sowie den Kreis der zu Befragenden oder sonstigen Auskunftsstellen einzuschränken;</w:t>
      </w:r>
    </w:p>
    <w:p>
      <w:r>
        <w:t xml:space="preserve">2. statt einer durch Gesetz vorgesehenen Erhebung mit Auskunftspflicht eine Erhebung ohne Auskunftspflicht anzuordnen;</w:t>
      </w:r>
    </w:p>
    <w:p>
      <w:r>
        <w:t xml:space="preserve">3. Statistiken mit Auskunftspflicht für die Dauer bis zu drei Jahren anzuordnen, wenn deren Ergebnisse zur Erfüllung bestimmter Aufgabenplanungen erforderlich sind.</w:t>
      </w:r>
    </w:p>
    <w:p>
      <w:r>
        <w:rPr>
          <w:color w:val="555555"/>
          <w:sz w:val="17"/>
        </w:rPr>
        <w:t xml:space="preserve">Zitiervorschlag: Art 11 BayStatG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https://recht.nulegal.eu/gesetze/BayStatG/11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