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BayStatG (Bayern) — Geltungsbereich</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Durchführung von Statistiken durch öffentliche Stellen. Führen diese Stellen Bundesstatistiken oder europäische Statistiken durch und haben sie dabei andere Rechtsvorschriften anzuwenden, so finden die Vorschriften dieses Gesetzes nur ergänzend Anwendung.</w:t>
      </w:r>
    </w:p>
    <w:p>
      <w:r>
        <w:t xml:space="preserve">(2) Für Geschäftsstatistiken gilt dieses Gesetz nur, soweit das ausdrücklich bestimmt ist.</w:t>
      </w:r>
    </w:p>
    <w:p>
      <w:r>
        <w:rPr>
          <w:color w:val="555555"/>
          <w:sz w:val="17"/>
        </w:rPr>
        <w:t xml:space="preserve">Zitiervorschlag: Art 1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