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BayStaBehGebBodBek (Bayern)</w:t>
      </w:r>
    </w:p>
    <w:p>
      <w:r>
        <w:rPr>
          <w:color w:val="555555"/>
          <w:sz w:val="18"/>
        </w:rPr>
        <w:t xml:space="preserve">Bekanntmachung, die standesamtliche Behandlung der Geburts- und Sterbefälle auf dem Bodensee betreffend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Hinsichtlich der standesamtlichen Behandlung der auf dem Bodensee eintretenden Geburts- und Sterbefälle haben sich die Regierungen der Bodenseeuferstaaten über folgende Grundsätze verständigt:</w:t>
      </w:r>
    </w:p>
    <w:p>
      <w:r>
        <w:rPr>
          <w:color w:val="555555"/>
          <w:sz w:val="17"/>
        </w:rPr>
        <w:t xml:space="preserve">Zitiervorschlag: Eingangsformel BayStaBehGebBodBek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https://recht.nulegal.eu/gesetze/BayStaBehGebBodBek/eingangsformel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