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BayStVollzG (Bayern)</w:t>
      </w:r>
    </w:p>
    <w:p>
      <w:r>
        <w:rPr>
          <w:color w:val="555555"/>
          <w:sz w:val="18"/>
        </w:rPr>
        <w:t xml:space="preserve">Bayerisches Strafvollzugsgesetz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hiermit bekannt gemacht wird:</w:t>
      </w:r>
    </w:p>
    <w:p>
      <w:r>
        <w:rPr>
          <w:color w:val="555555"/>
          <w:sz w:val="17"/>
        </w:rPr>
        <w:t xml:space="preserve">Zitiervorschlag: Eingangsformel BayStVollzG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https://recht.nulegal.eu/gesetze/BayStVollzG/eingangsformel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