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35 BayStVollzG (Bayern) — Telekommunikation</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Gefangenen kann nach pflichtgemäßem Ermessen, insbesondere unter Berücksichtigung der Sicherheit und Ordnung, der räumlichen, personellen und organisatorischen Verhältnisse der Anstalt sowie der Belange des Opferschutzes, gestattet werden, Telefongespräche zu führen. Die Vorschriften über den Besuch gelten entsprechend. Ist die Überwachung der Telefongespräche erforderlich, ist die beabsichtigte Überwachung den Gesprächspartnern der Gefangenen unmittelbar nach Herstellung der Verbindung durch die Anstalt oder die Gefangenen mitzuteilen. Die Gefangenen sind rechtzeitig vor Beginn der Telefongespräche über die beabsichtigte Überwachung und die Mitteilungspflicht nach Satz 3 zu unterrichten.</w:t>
      </w:r>
    </w:p>
    <w:p>
      <w:r>
        <w:t xml:space="preserve">(2) Die Aufsichtsbehörde kann andere Formen der Telekommunikation zulassen, soweit die Sicherheit und Ordnung dem nicht entgegenstehen. In der Zulassung legt die Aufsichtsbehörde zugleich fest, inwieweit die Bestimmungen über den Schriftwechsel, den Besuch und über Telefongespräche entsprechende Anwendung finden. Nach Zulassung anderer Formen der Telekommunikation kann der Anstaltsleiter oder die Anstaltsleiterin den Gefangenen insbesondere unter Berücksichtigung der in Abs. 1 Satz 1 genannten Gesichtspunkte gestatten, diese Formen auf ihre Kosten zu nutzen.</w:t>
      </w:r>
    </w:p>
    <w:p>
      <w:r>
        <w:t xml:space="preserve">(3) Die Kosten der Telekommunikation tragen die Gefangenen. Sind sie dazu nicht in der Lage, kann die Anstalt die Kosten in begründeten Fällen in angemessenem Umfang übernehmen.</w:t>
      </w:r>
    </w:p>
    <w:p>
      <w:r>
        <w:t xml:space="preserve">(4) Die Anstalt darf technische Geräte zur Störung von Frequenzen betreiben, die der Herstellung unerlaubter Mobilfunkverbindungen auf dem Anstaltsgelände dienen. Sie hat hierbei die von der Bundesnetzagentur gemäß § 91 Abs. 1 Satz 4 des Telekommunikationsgesetzes festgelegten Rahmenbedingungen zu beachten. Der Mobilfunkverkehr außerhalb des Geländes der Anstalt darf nicht beeinträchtigt werden.</w:t>
      </w:r>
    </w:p>
    <w:p>
      <w:r>
        <w:rPr>
          <w:color w:val="555555"/>
          <w:sz w:val="17"/>
        </w:rPr>
        <w:t xml:space="preserve">Zitiervorschlag: Art 35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35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