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21 BayStVollzG (Bayern) — Ausstattung des Haftraums und persönlicher Besitz</w:t>
      </w:r>
    </w:p>
    <w:p>
      <w:r>
        <w:rPr>
          <w:color w:val="555555"/>
          <w:sz w:val="18"/>
        </w:rPr>
        <w:t xml:space="preserve">Bayerisches Strafvollzugsgesetz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Gefangene dürfen ihren Haftraum in angemessenem Umfang mit eigenen Sachen ausstatten. Lichtbilder nahestehender Personen und Erinnerungsstücke von persönlichem Wert werden ihnen belassen.</w:t>
      </w:r>
    </w:p>
    <w:p>
      <w:r>
        <w:t xml:space="preserve">(2) Vorkehrungen und Gegenstände, die die Übersichtlichkeit des Haftraums behindern oder in anderer Weise Sicherheit oder Ordnung der Anstalt gefährden, können ausgeschlossen werden.</w:t>
      </w:r>
    </w:p>
    <w:p>
      <w:r>
        <w:rPr>
          <w:color w:val="555555"/>
          <w:sz w:val="17"/>
        </w:rPr>
        <w:t xml:space="preserve">Zitiervorschlag: Art 21 BayStVollzG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https://recht.nulegal.eu/gesetze/BayStVollzG/21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