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BayStVollzG (Bayern) — Aufgaben des Vollzugs</w:t>
      </w:r>
    </w:p>
    <w:p>
      <w:r>
        <w:rPr>
          <w:color w:val="555555"/>
          <w:sz w:val="18"/>
        </w:rPr>
        <w:t xml:space="preserve">Bayerisches Strafvollzugsgesetz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Der Vollzug der Freiheitsstrafe dient dem Schutz der Allgemeinheit vor weiteren Straftaten. Er hat das Ziel der Resozialisierung und soll die Gefangenen befähigen, künftig in sozialer Verantwortung ein Leben ohne Straftaten zu führen (Behandlungsauftrag).</w:t>
      </w:r>
    </w:p>
    <w:p>
      <w:r>
        <w:rPr>
          <w:color w:val="555555"/>
          <w:sz w:val="17"/>
        </w:rPr>
        <w:t xml:space="preserve">Zitiervorschlag: Art 2 BayStVollzG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https://recht.nulegal.eu/gesetze/BayStVollzG/2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