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Art 163 BayStVollzG (Bayern) — Urlaub zur Vorbereitung der Entlassung, Nachsorge und Aufnahme auf freiwilliger Grundlage</w:t>
      </w:r>
    </w:p>
    <w:p>
      <w:r>
        <w:rPr>
          <w:color w:val="555555"/>
          <w:sz w:val="18"/>
        </w:rPr>
        <w:t xml:space="preserve">Bayerisches Strafvollzugsgesetz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Bei angeordneter und vorbehaltener Sicherungsverwahrung gelten Art. 118 bis 120 entsprechend.</w:t>
      </w:r>
    </w:p>
    <w:p>
      <w:r>
        <w:rPr>
          <w:color w:val="555555"/>
          <w:sz w:val="17"/>
        </w:rPr>
        <w:t xml:space="preserve">Zitiervorschlag: Art 163 BayStVollzG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https://recht.nulegal.eu/gesetze/BayStVollzG/163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Art 163 BayStVollzG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