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BayStOpferhG (Bayern) — Beendigung der Stiftung, Heimfall</w:t>
      </w:r>
    </w:p>
    <w:p>
      <w:r>
        <w:rPr>
          <w:color w:val="555555"/>
          <w:sz w:val="18"/>
        </w:rPr>
        <w:t xml:space="preserve">Gesetz über die Errichtung der „Stiftung Opferhilfe Bayern“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Stiftung kann nur durch Gesetz aufgehoben werden.</w:t>
      </w:r>
    </w:p>
    <w:p>
      <w:r>
        <w:t xml:space="preserve">(2) Im Fall der Aufhebung der Stiftung fällt ihr Vermögen an den Freistaat Bayern.</w:t>
      </w:r>
    </w:p>
    <w:p>
      <w:r>
        <w:rPr>
          <w:color w:val="555555"/>
          <w:sz w:val="17"/>
        </w:rPr>
        <w:t xml:space="preserve">Zitiervorschlag: Art 9 BayStOpferhG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https://recht.nulegal.eu/gesetze/BayStOpferhG/9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