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BayStOpferhG (Bayern) — Stiftungsorgane</w:t>
      </w:r>
    </w:p>
    <w:p>
      <w:r>
        <w:rPr>
          <w:color w:val="555555"/>
          <w:sz w:val="18"/>
        </w:rPr>
        <w:t xml:space="preserve">Gesetz über die Errichtung der „Stiftung Opferhilfe Bayern“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Organe der Stiftung sind</w:t>
      </w:r>
    </w:p>
    <w:p>
      <w:r>
        <w:t xml:space="preserve">1. der Stiftungsvorstand und</w:t>
      </w:r>
    </w:p>
    <w:p>
      <w:r>
        <w:t xml:space="preserve">2. der Stiftungsrat.</w:t>
      </w:r>
    </w:p>
    <w:p>
      <w:r>
        <w:t xml:space="preserve">(2) Zur Entscheidung über die Vergabe finanzieller Leistungen im Sinn des Art. 2 Abs. 1 kann ein Zuwendungsausschuss eingerichtet werden. Art. 6 Abs. 2 gilt entsprechend.</w:t>
      </w:r>
    </w:p>
    <w:p>
      <w:r>
        <w:rPr>
          <w:color w:val="555555"/>
          <w:sz w:val="17"/>
        </w:rPr>
        <w:t xml:space="preserve">Zitiervorschlag: Art 5 BayStOpferhG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https://recht.nulegal.eu/gesetze/BayStOpferhG/5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