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BayStOpferhG (Bayern) — Inkrafttreten</w:t>
      </w:r>
    </w:p>
    <w:p>
      <w:r>
        <w:rPr>
          <w:color w:val="555555"/>
          <w:sz w:val="18"/>
        </w:rPr>
        <w:t xml:space="preserve">Gesetz über die Errichtung der „Stiftung Opferhilfe Bayern“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September 2012 in Kraft.</w:t>
      </w:r>
    </w:p>
    <w:p>
      <w:r>
        <w:rPr>
          <w:color w:val="555555"/>
          <w:sz w:val="17"/>
        </w:rPr>
        <w:t xml:space="preserve">Zitiervorschlag: Art 11 BayStOpferhG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https://recht.nulegal.eu/gesetze/BayStOpferhG/11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