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BayStInstFamV (Bayern)</w:t>
      </w:r>
    </w:p>
    <w:p>
      <w:r>
        <w:rPr>
          <w:color w:val="555555"/>
          <w:sz w:val="18"/>
        </w:rPr>
        <w:t xml:space="preserve">Verordnung über die Errichtung des Staatsinstituts für Familienforschung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12. Oktober 1993</w:t>
      </w:r>
    </w:p>
    <w:p>
      <w:r>
        <w:t xml:space="preserve">Bayerisches Staatsministerium für Arbeit und Sozialordnung, Familie, Frauen und Gesundheit</w:t>
      </w:r>
    </w:p>
    <w:p>
      <w:r>
        <w:t xml:space="preserve">Dr. Gebhard Glück, Staatsminister</w:t>
      </w:r>
    </w:p>
    <w:p>
      <w:r>
        <w:t xml:space="preserve">Bayerisches Staatsministerium für Unterricht, Kultus, Wissenschaft und Kunst</w:t>
      </w:r>
    </w:p>
    <w:p>
      <w:r>
        <w:t xml:space="preserve">Hans Zehetmair, Staatsminister</w:t>
      </w:r>
    </w:p>
    <w:p>
      <w:r>
        <w:rPr>
          <w:color w:val="555555"/>
          <w:sz w:val="17"/>
        </w:rPr>
        <w:t xml:space="preserve">Zitiervorschlag: Schlussformel BayStInstFamV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https://recht.nulegal.eu/gesetze/BayStInstFamV/schlussformel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BayStInstFamV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