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BayStInstFamV (Bayern)</w:t>
      </w:r>
    </w:p>
    <w:p>
      <w:r>
        <w:rPr>
          <w:color w:val="555555"/>
          <w:sz w:val="18"/>
        </w:rPr>
        <w:t xml:space="preserve">Verordnung über die Errichtung des Staatsinstituts für Familienforschung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(BayRS 200-1-S) erläßt das Bayerische Staatsministerium für Arbeit und Sozialordnung, Familie, Frauen und Gesundheit – soweit die Änderung der Verordnung über die Errichtung des Staatsinstituts für Frühpädagogik und Familienforschung betroffen ist, gemeinsam mit dem Bayerischen Staatsministerium für Unterricht, Kultus, Wissenschaft und Kunst – folgende Verordnung:</w:t>
      </w:r>
    </w:p>
    <w:p>
      <w:r>
        <w:rPr>
          <w:color w:val="555555"/>
          <w:sz w:val="17"/>
        </w:rPr>
        <w:t xml:space="preserve">Zitiervorschlag: Eingangsformel BayStInstFamV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https://recht.nulegal.eu/gesetze/BayStInstFamV/eingangsformel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