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BayStInstFamV (Bayern) — Arbeitsgrundlagen</w:t>
      </w:r>
    </w:p>
    <w:p>
      <w:r>
        <w:rPr>
          <w:color w:val="555555"/>
          <w:sz w:val="18"/>
        </w:rPr>
        <w:t xml:space="preserve">Verordnung über die Errichtung des Staatsinstituts für Familienforschung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Staatsinstitut arbeitet wissenschaftlich unabhängig in enger Verbindung mit der Praxis und den Hochschulen, insbesondere der Universität Bamberg.</w:t>
      </w:r>
    </w:p>
    <w:p>
      <w:r>
        <w:t xml:space="preserve">(2) Die Arbeit des Staatsinstituts wird entsprechend den wissenschaftlichen Standards durchgeführt.</w:t>
      </w:r>
    </w:p>
    <w:p>
      <w:r>
        <w:rPr>
          <w:color w:val="555555"/>
          <w:sz w:val="17"/>
        </w:rPr>
        <w:t xml:space="preserve">Zitiervorschlag: § 3 BayStInstFamV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https://recht.nulegal.eu/gesetze/BayStInstFamV/3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