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BayStG (Bayern) — Rechtsstandswahrung</w:t>
      </w:r>
    </w:p>
    <w:p>
      <w:r>
        <w:rPr>
          <w:color w:val="555555"/>
          <w:sz w:val="18"/>
        </w:rPr>
        <w:t xml:space="preserve">Bayerisches 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Stiftungen, die bisher rechtsfähig waren, behalten ihre Rechtsstellung bei.</w:t>
      </w:r>
    </w:p>
    <w:p>
      <w:r>
        <w:t xml:space="preserve">(2) Ist die Rechtsstellung oder die Art einer Stiftung strittig, so entscheidet das nach Art. 3 Abs. 3 zuständige Staatsministerium, im Zweifel das Staatsministerium des Innern, für Sport und Integration.</w:t>
      </w:r>
    </w:p>
    <w:p>
      <w:r>
        <w:t xml:space="preserve">(3) Stiftungen, die nach Art. 5 Abs. 4 der Kirchengemeindeordnung vom 24. September 1912 (GVBl S. 911) bisher durch kirchliche Organe verwaltet wurden, gelten weiterhin als kirchliche Stiftungen im Sinn dieses Gesetzes.</w:t>
      </w:r>
    </w:p>
    <w:p>
      <w:r>
        <w:t xml:space="preserve">(4) Ausschließlich oder überwiegend kirchlichen oder religiösen Zwecken der katholischen, der evangelisch-lutherischen oder der evangelisch-reformierten Kirche gewidmete Stiftungen, welche bis zum 1. Januar 1996 satzungsgemäß von einer Behörde des Staates, einer Gemeinde oder eines Gemeindeverbands zu verwalten sind, gelten weiterhin nicht als kirchliche Stiftungen.</w:t>
      </w:r>
    </w:p>
    <w:p>
      <w:r>
        <w:rPr>
          <w:color w:val="555555"/>
          <w:sz w:val="17"/>
        </w:rPr>
        <w:t xml:space="preserve">Zitiervorschlag: Art 25 BayStG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