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BayStG (Bayern) — Kirchliche Stiftungsaufsicht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kirchlichen Stiftungen unterstehen der Aufsicht der betreffenden Kirche. Der Erlass allgemeiner Vorschriften über Namen, Sitz, Zweck, Vertretung, Verwaltung und Beaufsichtigung kirchlicher Stiftungen ist Aufgabe der Kirchen.</w:t>
      </w:r>
    </w:p>
    <w:p>
      <w:r>
        <w:t xml:space="preserve">(2) Die bestehenden Vorschriften über die staatliche Betreuung kirchlicher Gebäude im Rahmen einer dem Staat obliegenden Baupflicht bleiben unberührt.</w:t>
      </w:r>
    </w:p>
    <w:p>
      <w:r>
        <w:rPr>
          <w:color w:val="555555"/>
          <w:sz w:val="17"/>
        </w:rPr>
        <w:t xml:space="preserve">Zitiervorschlag: Art 23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