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BayStG (Bayern) — Kommunale Stiftungen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Vertretung und Verwaltung der kommunalen Stiftungen obliegt, soweit nicht durch Satzung anderes bestimmt ist, den für die Vertretung und Verwaltung der Gemeinden, Landkreise und Bezirke zuständigen Organen.</w:t>
      </w:r>
    </w:p>
    <w:p>
      <w:r>
        <w:t xml:space="preserve">(2) Bei den von Gemeinden, Landkreisen und Bezirken verwalteten kommunalen Stiftungen tritt hinsichtlich der Aufgaben nach Teil 2 und nach den Art. 17 und 18 an die Stelle der Stiftungsbehörde die kommunale Rechtsaufsichtsbehörde. Die Art. 12 bis 14 und Art. 18 Nr. 2 finden bei diesen Stiftungen keine Anwendung. Für diese Stiftungen gelten im Übrigen die Vorschriften über die Gemeindewirtschaft, die Landkreiswirtschaft und die Bezirkswirtschaft mit Ausnahme des Art. 62 Abs. 1 und der Art. 77 bis 85 der Gemeindeordnung, des Art. 56 Abs. 1 und der Art. 71 bis 73 der Landkreisordnung und des Art. 54 Abs. 1 und der Art. 69 bis 71 der Bezirksordnung entsprechend.</w:t>
      </w:r>
    </w:p>
    <w:p>
      <w:r>
        <w:rPr>
          <w:color w:val="555555"/>
          <w:sz w:val="17"/>
        </w:rPr>
        <w:t xml:space="preserve">Zitiervorschlag: Art 20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