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BayStG (Bayern) — Genehmigungspflichtige Rechtsgeschäfte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Genehmigung der Stiftungsbehörde</w:t>
      </w:r>
    </w:p>
    <w:p>
      <w:r>
        <w:t xml:space="preserve">1. bedarf die Annahme von Zustiftungen, die mit einer Last verknüpft sind oder die einem anderen Zweck als die Stiftung dienen sollen,</w:t>
      </w:r>
    </w:p>
    <w:p>
      <w:r>
        <w:t xml:space="preserve">2. bedarf der Abschluss von Bürgschaftsverträgen und verwandten Rechtsgeschäften, die ein Einstehen der Stiftung für fremde Schuld zum Gegenstand haben,</w:t>
      </w:r>
    </w:p>
    <w:p>
      <w:r>
        <w:t xml:space="preserve">3. bedürfen Rechtsgeschäfte, an denen ein Mitglied eines Stiftungsorgans persönlich oder als Vertreter eines Dritten beteiligt ist, es sei denn, die Stiftung wird durch einen besonderen Vertreter nach Art. 17 Satz 1 vertreten, das Rechtsgeschäft besteht ausschließlich in der Erfüllung einer Verbindlichkeit oder die Stiftung erlangt dadurch lediglich einen rechtlichen Vorteil.</w:t>
      </w:r>
    </w:p>
    <w:p>
      <w:r>
        <w:rPr>
          <w:color w:val="555555"/>
          <w:sz w:val="17"/>
        </w:rPr>
        <w:t xml:space="preserve">Zitiervorschlag: Art 18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