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BayStG (Bayern) — Grundsätze der Stiftungsaufsicht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 ihrem Schutz unterstehen Stiftungen, die öffentliche Zwecke verfolgen (Art. 2 Abs. 2 Satz 2), mit Ausnahme der kirchlichen Stiftungen (Art. 2 Abs. 4) und der staatlich verwalteten Stiftungen (Art. 2 Abs. 5), der Rechtsaufsicht des Staates (Stiftungsaufsicht).</w:t>
      </w:r>
    </w:p>
    <w:p>
      <w:r>
        <w:t xml:space="preserve">(2) Die Stiftungsbehörden sollen die Stiftungen bei der Erfüllung ihrer Aufgaben verständnisvoll beraten, fördern und schützen sowie die Entschlusskraft und die Selbstverantwortung der Stiftungsorgane stärken.</w:t>
      </w:r>
    </w:p>
    <w:p>
      <w:r>
        <w:rPr>
          <w:color w:val="555555"/>
          <w:sz w:val="17"/>
        </w:rPr>
        <w:t xml:space="preserve">Zitiervorschlag: Art 10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