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BayStBKVollstrG (Bayern)</w:t>
      </w:r>
    </w:p>
    <w:p>
      <w:r>
        <w:rPr>
          <w:color w:val="555555"/>
          <w:sz w:val="18"/>
        </w:rPr>
        <w:t xml:space="preserve">Gesetz über die Vollstreckung von Beitrags- und Gebührenforderungen der Steuerberaterkammern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August 1976 in Kraft.</w:t>
      </w:r>
    </w:p>
    <w:p>
      <w:r>
        <w:t xml:space="preserve">(2) (gegenstandslos)</w:t>
      </w:r>
    </w:p>
    <w:p>
      <w:r>
        <w:t xml:space="preserve">[Amtl. Anm.:] Betrifft die ursprüngliche Fassung vom 23. Juli 1976 (GVBl. S. 294)</w:t>
      </w:r>
    </w:p>
    <w:p>
      <w:r>
        <w:rPr>
          <w:color w:val="555555"/>
          <w:sz w:val="17"/>
        </w:rPr>
        <w:t xml:space="preserve">Zitiervorschlag: Art 2 BayStBKVollstrG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https://recht.nulegal.eu/gesetze/BayStBKVollstrG/2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