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BayStAnnaUrk (Bayern)</w:t>
      </w:r>
    </w:p>
    <w:p>
      <w:r>
        <w:rPr>
          <w:color w:val="555555"/>
          <w:sz w:val="18"/>
        </w:rPr>
        <w:t xml:space="preserve">Urkunde, das hiesige Damenstift zu St. Anna betreffend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Dessen zur Urkunde haben Wir gegenwärtigen landesfürstlichen Bestätigungsbrief nicht nur eigenhändig unterschrieben, mit Unserem größeren gewöhnlichen Kanzlei-Insiegel versehen, sondern in dupplo ausfertigen, das eine Exemplar in Unserem Landesarchiv hinterlegen, das andere der Frau Äbtissin Liebden einhändigen lassen.</w:t>
      </w:r>
    </w:p>
    <w:p>
      <w:r>
        <w:t xml:space="preserve">Gegeben in Unserer Haupt- und Residenzstadt München den 18ten Februar 1802.</w:t>
      </w:r>
    </w:p>
    <w:p>
      <w:r>
        <w:t xml:space="preserve">Max. Joseph, Kurfürst</w:t>
      </w:r>
    </w:p>
    <w:p>
      <w:r>
        <w:rPr>
          <w:color w:val="555555"/>
          <w:sz w:val="17"/>
        </w:rPr>
        <w:t xml:space="preserve">Zitiervorschlag: Volltext BayStAnnaUrk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https://recht.nulegal.eu/gesetze/BayStAnnaUrk/volltext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