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BayStAZwStSitzVO (Bayern)</w:t>
      </w:r>
    </w:p>
    <w:p>
      <w:r>
        <w:rPr>
          <w:color w:val="555555"/>
          <w:sz w:val="18"/>
        </w:rPr>
        <w:t xml:space="preserve">Verordnung über die Sitze und die Bezirke der staatsanwaltschaftlichen Zweigstellen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12 Abs. 2 Satz 2 des Gesetzes zur Ausführung des Gerichtsverfassungsgesetzes und von Verfahrensgesetzen des Bundes (BayRS 300–1–1–J) erläßt das Bayerische Staatsministerium der Justiz folgende Verordnung:</w:t>
      </w:r>
    </w:p>
    <w:p>
      <w:r>
        <w:rPr>
          <w:color w:val="555555"/>
          <w:sz w:val="17"/>
        </w:rPr>
        <w:t xml:space="preserve">Zitiervorschlag: Eingangsformel BayStAZwStSitzVO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https://recht.nulegal.eu/gesetze/BayStAZwStSitzVO/eingangsformel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