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BayStAZwStSitzVO (Bayern)</w:t>
      </w:r>
    </w:p>
    <w:p>
      <w:r>
        <w:rPr>
          <w:color w:val="555555"/>
          <w:sz w:val="18"/>
        </w:rPr>
        <w:t xml:space="preserve">Verordnung über die Sitze und die Bezirke der staatsanwaltschaftlichen Zweigstellen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bestehen Zweigstellen der Staatsanwaltschaften bei den Landgerichten</w:t>
      </w:r>
    </w:p>
    <w:p>
      <w:r>
        <w:t xml:space="preserve">1. Memmingen</w:t>
      </w:r>
    </w:p>
    <w:p>
      <w:r>
        <w:t xml:space="preserve">in Neu-Ulm für den Amtsgerichtsbezirk Neu-Ulm;</w:t>
      </w:r>
    </w:p>
    <w:p>
      <w:r>
        <w:t xml:space="preserve">2. Nürnberg-Fürth in</w:t>
      </w:r>
    </w:p>
    <w:p>
      <w:r>
        <w:t xml:space="preserve">a) Erlangen für den Amtsgerichtsbezirk Erlangen,</w:t>
      </w:r>
    </w:p>
    <w:p>
      <w:r>
        <w:t xml:space="preserve">b) Fürth für den Amtsgerichtsbezirk Fürth;</w:t>
      </w:r>
    </w:p>
    <w:p>
      <w:r>
        <w:t xml:space="preserve">3. Regensburg</w:t>
      </w:r>
    </w:p>
    <w:p>
      <w:r>
        <w:t xml:space="preserve">in Straubing für den Amtsgerichtsbezirk Straubing;</w:t>
      </w:r>
    </w:p>
    <w:p>
      <w:r>
        <w:t xml:space="preserve">4. Traunstein</w:t>
      </w:r>
    </w:p>
    <w:p>
      <w:r>
        <w:t xml:space="preserve">in Rosenheim für den Amtsgerichtsbezirk Rosenheim.</w:t>
      </w:r>
    </w:p>
    <w:p>
      <w:r>
        <w:rPr>
          <w:color w:val="555555"/>
          <w:sz w:val="17"/>
        </w:rPr>
        <w:t xml:space="preserve">Zitiervorschlag: § 1 BayStAZwStSitzVO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https://recht.nulegal.eu/gesetze/BayStAZwStSitzVO/1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