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BayStAOertSitVertV (Bayern) — Ausnahmen</w:t>
      </w:r>
    </w:p>
    <w:p>
      <w:r>
        <w:rPr>
          <w:color w:val="555555"/>
          <w:sz w:val="18"/>
        </w:rPr>
        <w:t xml:space="preserve">Verordnung über die örtlichen Sitzungsvertreter der Staatsanwaltschaft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Generalstaatsanwalt bei dem Oberlandesgericht kann im Benehmen mit dem Präsidenten des Oberlandesgerichts bei einzelnen Sitzungsvertretern die im § 1 bezeichneten Geschäfte ganz oder teilweise von der Übertragung ausnehmen.</w:t>
      </w:r>
    </w:p>
    <w:p>
      <w:r>
        <w:rPr>
          <w:color w:val="555555"/>
          <w:sz w:val="17"/>
        </w:rPr>
        <w:t xml:space="preserve">Zitiervorschlag: § 2 BayStAOertSitVertV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https://recht.nulegal.eu/gesetze/BayStAOertSitVertV/2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