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BaySportG (Bayern) — Breitensport</w:t>
      </w:r>
    </w:p>
    <w:p>
      <w:r>
        <w:rPr>
          <w:color w:val="555555"/>
          <w:sz w:val="18"/>
        </w:rPr>
        <w:t xml:space="preserve">Bayerisches Sportgesetz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Breitensport ist die Sportausübung für jedermann als Freizeitbeschäftigung. Er umfasst den organisierten und nicht organisierten Sport einschließlich des Gesundheitssports.</w:t>
      </w:r>
    </w:p>
    <w:p>
      <w:r>
        <w:t xml:space="preserve">(2) Der Freistaat Bayern unterstützt Bewegungs- und Sportangebote des organisierten Sports, die der Gesunderhaltung der Bevölkerung auch im weiteren Lebensverlauf dienen und die individuelle Lebensqualität verbessern. Der Auftrag der Gemeinden nach Art. 57 Abs. 1 Satz 1 GO, den Breitensport zu fördern, bleibt unberührt.</w:t>
      </w:r>
    </w:p>
    <w:p>
      <w:r>
        <w:rPr>
          <w:color w:val="555555"/>
          <w:sz w:val="17"/>
        </w:rPr>
        <w:t xml:space="preserve">Zitiervorschlag: Art 5 BaySportG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https://recht.nulegal.eu/gesetze/BaySportG/5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