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 BaySportG (Bayern) — Ausschluss der Klagbarkeit</w:t>
      </w:r>
    </w:p>
    <w:p>
      <w:r>
        <w:rPr>
          <w:color w:val="555555"/>
          <w:sz w:val="18"/>
        </w:rPr>
        <w:t xml:space="preserve">Bayerisches Sportgesetz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Subjektive Rechte und klagbare Rechtspositionen werden durch die in diesem Gesetz oder aufgrund dieses Gesetzes begründeten Förderungen, Unterstützungen oder Angebote nicht begründet. Rechte aus Art. 12 Abs. 3 Satz 3 bleiben hiervon unberührt. Sämtliche finanzwirksamen Maßnahmen erfolgen nach Maßgabe des Staatshaushalts. Maßnahmen der Kommunen erfolgen nach Maßgabe ihrer jeweiligen Haushaltssatzung.</w:t>
      </w:r>
    </w:p>
    <w:p>
      <w:r>
        <w:rPr>
          <w:color w:val="555555"/>
          <w:sz w:val="17"/>
        </w:rPr>
        <w:t xml:space="preserve">Zitiervorschlag: Art 14 BaySportG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https://recht.nulegal.eu/gesetze/BaySportG/14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