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BaySportG (Bayern) — Fördergegenstände und -grundsätze</w:t>
      </w:r>
    </w:p>
    <w:p>
      <w:r>
        <w:rPr>
          <w:color w:val="555555"/>
          <w:sz w:val="18"/>
        </w:rPr>
        <w:t xml:space="preserve">Bayerisches Sportgesetz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Zur Erfüllung seiner gesellschaftlichen Funktion fördert der Freistaat Bayern den organisierten Sport insbesondere in den Bereichen:</w:t>
      </w:r>
    </w:p>
    <w:p>
      <w:r>
        <w:t xml:space="preserve">1. Sportbetrieb der Vereine und Verbände,</w:t>
      </w:r>
    </w:p>
    <w:p>
      <w:r>
        <w:t xml:space="preserve">2. Sportinfrastruktur,</w:t>
      </w:r>
    </w:p>
    <w:p>
      <w:r>
        <w:t xml:space="preserve">3. Sportgroßveranstaltungen,</w:t>
      </w:r>
    </w:p>
    <w:p>
      <w:r>
        <w:t xml:space="preserve">4. Inklusion im Sport und Integration durch Sport.</w:t>
      </w:r>
    </w:p>
    <w:p>
      <w:r>
        <w:t xml:space="preserve">(2) Die staatliche Förderung soll Anreize dafür setzen, dass der organisierte Sport seiner besonderen gesellschaftlichen Verantwortung insbesondere in Bezug auf folgende Aspekte gerecht wird:</w:t>
      </w:r>
    </w:p>
    <w:p>
      <w:r>
        <w:t xml:space="preserve">1. Diskriminierungsfreiheit und gesellschaftliche Teilhabe,</w:t>
      </w:r>
    </w:p>
    <w:p>
      <w:r>
        <w:t xml:space="preserve">2. Integrität des Sports,</w:t>
      </w:r>
    </w:p>
    <w:p>
      <w:r>
        <w:t xml:space="preserve">3. Schutz vor Gewalt,</w:t>
      </w:r>
    </w:p>
    <w:p>
      <w:r>
        <w:t xml:space="preserve">4. ökologische, ökonomische und soziale Nachhaltigkeit.</w:t>
      </w:r>
    </w:p>
    <w:p>
      <w:r>
        <w:rPr>
          <w:color w:val="555555"/>
          <w:sz w:val="17"/>
        </w:rPr>
        <w:t xml:space="preserve">Zitiervorschlag: Art 11 BaySportG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https://recht.nulegal.eu/gesetze/BaySportG/11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