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BaySpielBAbV (Bayern)</w:t>
      </w:r>
    </w:p>
    <w:p>
      <w:r>
        <w:rPr>
          <w:color w:val="555555"/>
          <w:sz w:val="18"/>
        </w:rPr>
        <w:t xml:space="preserve">Verordnung über den Gemeindeanteil an der Spielbankabgabe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mit Wirkung vom 1. April 1996 in Kraft.</w:t>
      </w:r>
    </w:p>
    <w:p>
      <w:r>
        <w:rPr>
          <w:color w:val="555555"/>
          <w:sz w:val="17"/>
        </w:rPr>
        <w:t xml:space="preserve">Zitiervorschlag: § 3 BaySpielBAbV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https://recht.nulegal.eu/gesetze/BaySpielBAbV/3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