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BaySozBAG (Bayern) — Verordnungsermächtigung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Familie, Arbeit und Soziales wird ermächtigt, durch Rechtsverordnung im Benehmen mit dem Staatsministerium für Wissenschaft und Kunst</w:t>
      </w:r>
    </w:p>
    <w:p>
      <w:r>
        <w:t xml:space="preserve">1. das Nähere zu den Voraussetzungen und dem Verfahren nach Art. 1 Abs. 2, Art. 2 Abs. 2 und Art. 3 Abs. 2,</w:t>
      </w:r>
    </w:p>
    <w:p>
      <w:r>
        <w:t xml:space="preserve">2. die Ausgleichsmaßnahmen nach Art. 11 BayBQFG in den Fällen des Art. 4 und</w:t>
      </w:r>
    </w:p>
    <w:p>
      <w:r>
        <w:t xml:space="preserve">3. das Nähere zu den Voraussetzungen und dem Verfahren in den Fällen des Art. 4</w:t>
      </w:r>
    </w:p>
    <w:p>
      <w:r>
        <w:t xml:space="preserve">zu bestimmen.</w:t>
      </w:r>
    </w:p>
    <w:p>
      <w:r>
        <w:rPr>
          <w:color w:val="555555"/>
          <w:sz w:val="17"/>
        </w:rPr>
        <w:t xml:space="preserve">Zitiervorschlag: Art 7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