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BaySozBAG (Bayern) — „Staatlich anerkannte Kindheitspädagogin“ oder „Staatlich anerkannter Kindheitspädagoge“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Berufsbezeichnung „Staatlich anerkannte Kindheitspädagogin“ oder „Staatlich anerkannter Kindheitspädagoge“ darf führen, wer</w:t>
      </w:r>
    </w:p>
    <w:p>
      <w:r>
        <w:t xml:space="preserve">1. an einer staatlichen oder staatlich anerkannten Hochschule im Freistaat Bayern einen Studiengang nach Abs. 2 erfolgreich abgeschlossen hat und</w:t>
      </w:r>
    </w:p>
    <w:p>
      <w:r>
        <w:t xml:space="preserve">2. sich nicht eines Verhaltens schuldig gemacht hat, aus dem sich die Unzuverlässigkeit zur Ausübung des Berufs ergibt, insbesondere nicht rechtskräftig wegen einer in § 72a SGB VIII genannten Straftat verurteilt worden ist.</w:t>
      </w:r>
    </w:p>
    <w:p>
      <w:r>
        <w:t xml:space="preserve">Dem erfolgreichen Abschluss nach Satz 1 Nr. 1 steht der Erwerb der Berechtigung zum Führen der Berufsbezeichnung in einem anderen Land gleich.</w:t>
      </w:r>
    </w:p>
    <w:p>
      <w:r>
        <w:t xml:space="preserve">(2) Ein Bachelorstudiengang qualifiziert für die Tätigkeit als Kindheitspädagogin bzw. Kindheitspädagoge, wenn er</w:t>
      </w:r>
    </w:p>
    <w:p>
      <w:r>
        <w:t xml:space="preserve">1. die für die Tätigkeit notwendigen Kompetenzen, insbesondere vertiefte Kenntnisse und Fertigkeiten zur Umsetzung der im ersten Abschnitt der Verordnung zur Ausführung des Bayerischen Kinderbildungs- und -betreuungsgesetzes (BayKiBiG) zugrunde gelegten Bildungs- und Erziehungsziele, vermittelt,</w:t>
      </w:r>
    </w:p>
    <w:p>
      <w:r>
        <w:t xml:space="preserve">2. Schwerpunkte setzt bei</w:t>
      </w:r>
    </w:p>
    <w:p>
      <w:r>
        <w:t xml:space="preserve">a) der Qualität der Erwachsenen-Kind-Interaktion und der entsprechenden sprachlichen Kommunikation,</w:t>
      </w:r>
    </w:p>
    <w:p>
      <w:r>
        <w:t xml:space="preserve">b) der professionellen Begleitung kindlicher Lernprozesse,</w:t>
      </w:r>
    </w:p>
    <w:p>
      <w:r>
        <w:t xml:space="preserve">c) der Entwicklung von Konfliktlösungsstrategien sowie bei</w:t>
      </w:r>
    </w:p>
    <w:p>
      <w:r>
        <w:t xml:space="preserve">d) der Unterstützung von Eltern bei der Förderung ihrer Kinder in der kognitiven, emotionalen, sozialen und körperlichen Entwicklung,</w:t>
      </w:r>
    </w:p>
    <w:p>
      <w:r>
        <w:t xml:space="preserve">3. ausgewiesene Kenntnisse zu den geltenden Grundlagen, insbesondere den Kinderrechten und den für die Kinderbetreuung bedeutsamen deutschen Rechtsgebieten mit Vertiefung auf Landesebene, vor allem zum Bayerischen Kinderbildungs- und -betreuungsgesetz, zur Verordnung zur Ausführung des Bayerischen Kinderbildungs- und -betreuungsgesetzes (AVBayKiBiG), zu den darin vorgegebenen Bildungs- und Erziehungszielen und zum Bayerischen Bildungs- und Erziehungsplan, sowie Kenntnisse für die Verwaltung vermittelt,</w:t>
      </w:r>
    </w:p>
    <w:p>
      <w:r>
        <w:t xml:space="preserve">4. eine Regelstudienzeit von mindestens sieben Semestern umfasst und</w:t>
      </w:r>
    </w:p>
    <w:p>
      <w:r>
        <w:t xml:space="preserve">5. Praxisanteile an einer von der Hochschule anerkannten, fachlich ausgewiesenen Einrichtung im Umfang von mindestens 100 Tagen eingliedert.</w:t>
      </w:r>
    </w:p>
    <w:p>
      <w:r>
        <w:t xml:space="preserve">Auf Antrag der den Studiengang anbietenden Hochschule wird durch Allgemeinverfügung festgestellt, ob ein Studiengang die Voraussetzungen nach Satz 1 erfüllt.</w:t>
      </w:r>
    </w:p>
    <w:p>
      <w:r>
        <w:t xml:space="preserve">(3) Die staatliche Anerkennung darf in Verbindung mit dem akademischen Grad geführt werden.</w:t>
      </w:r>
    </w:p>
    <w:p>
      <w:r>
        <w:rPr>
          <w:color w:val="555555"/>
          <w:sz w:val="17"/>
        </w:rPr>
        <w:t xml:space="preserve">Zitiervorschlag: Art 2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